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A0F" w:rsidRDefault="008C2A0F" w:rsidP="008C2A0F">
      <w:pPr>
        <w:rPr>
          <w:sz w:val="20"/>
        </w:rPr>
      </w:pPr>
    </w:p>
    <w:p w:rsidR="008C2A0F" w:rsidRDefault="008C2A0F" w:rsidP="008C2A0F">
      <w:pPr>
        <w:rPr>
          <w:sz w:val="20"/>
        </w:rPr>
      </w:pP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3379"/>
        <w:gridCol w:w="2149"/>
        <w:gridCol w:w="2140"/>
        <w:gridCol w:w="2742"/>
      </w:tblGrid>
      <w:tr w:rsidR="008C2A0F" w:rsidRPr="007875DB" w:rsidTr="008C2A0F">
        <w:trPr>
          <w:trHeight w:val="228"/>
        </w:trPr>
        <w:tc>
          <w:tcPr>
            <w:tcW w:w="1623" w:type="pct"/>
            <w:tcBorders>
              <w:bottom w:val="single" w:sz="6" w:space="0" w:color="000000"/>
            </w:tcBorders>
            <w:shd w:val="solid" w:color="000080" w:fill="FFFFFF"/>
            <w:vAlign w:val="center"/>
          </w:tcPr>
          <w:p w:rsidR="008C2A0F" w:rsidRPr="007875DB" w:rsidRDefault="008C2A0F" w:rsidP="00256183">
            <w:pPr>
              <w:ind w:left="-33"/>
              <w:jc w:val="center"/>
              <w:rPr>
                <w:rFonts w:eastAsia="Calibri"/>
                <w:b/>
                <w:bCs/>
                <w:i/>
                <w:iCs/>
                <w:color w:val="FFFFFF"/>
                <w:sz w:val="18"/>
                <w:szCs w:val="22"/>
              </w:rPr>
            </w:pPr>
            <w:r w:rsidRPr="007875DB">
              <w:rPr>
                <w:rFonts w:eastAsia="Calibri"/>
                <w:b/>
                <w:bCs/>
                <w:i/>
                <w:iCs/>
                <w:color w:val="FFFFFF"/>
                <w:sz w:val="18"/>
                <w:szCs w:val="22"/>
              </w:rPr>
              <w:t>Deactivate MSC Address:</w:t>
            </w:r>
          </w:p>
        </w:tc>
        <w:tc>
          <w:tcPr>
            <w:tcW w:w="1032" w:type="pct"/>
            <w:tcBorders>
              <w:bottom w:val="single" w:sz="6" w:space="0" w:color="000000"/>
            </w:tcBorders>
            <w:shd w:val="solid" w:color="000080" w:fill="FFFFFF"/>
            <w:vAlign w:val="center"/>
          </w:tcPr>
          <w:p w:rsidR="008C2A0F" w:rsidRPr="007875DB" w:rsidRDefault="008C2A0F" w:rsidP="00256183">
            <w:pPr>
              <w:ind w:left="-33"/>
              <w:jc w:val="center"/>
              <w:rPr>
                <w:rFonts w:eastAsia="Calibri"/>
                <w:b/>
                <w:bCs/>
                <w:i/>
                <w:iCs/>
                <w:color w:val="FFFFFF"/>
                <w:sz w:val="18"/>
                <w:szCs w:val="22"/>
              </w:rPr>
            </w:pPr>
            <w:r w:rsidRPr="007875DB">
              <w:rPr>
                <w:rFonts w:eastAsia="Calibri"/>
                <w:b/>
                <w:bCs/>
                <w:i/>
                <w:iCs/>
                <w:color w:val="FFFFFF"/>
                <w:sz w:val="18"/>
                <w:szCs w:val="22"/>
              </w:rPr>
              <w:t>Physical Address</w:t>
            </w:r>
          </w:p>
        </w:tc>
        <w:tc>
          <w:tcPr>
            <w:tcW w:w="1028" w:type="pct"/>
            <w:tcBorders>
              <w:bottom w:val="single" w:sz="6" w:space="0" w:color="000000"/>
            </w:tcBorders>
            <w:shd w:val="solid" w:color="000080" w:fill="FFFFFF"/>
            <w:vAlign w:val="center"/>
          </w:tcPr>
          <w:p w:rsidR="008C2A0F" w:rsidRPr="007875DB" w:rsidRDefault="008C2A0F" w:rsidP="00256183">
            <w:pPr>
              <w:ind w:left="-33"/>
              <w:jc w:val="center"/>
              <w:rPr>
                <w:rFonts w:eastAsia="Calibri"/>
                <w:b/>
                <w:bCs/>
                <w:i/>
                <w:iCs/>
                <w:color w:val="FFFFFF"/>
                <w:sz w:val="18"/>
                <w:szCs w:val="22"/>
              </w:rPr>
            </w:pPr>
            <w:r w:rsidRPr="007875DB">
              <w:rPr>
                <w:rFonts w:eastAsia="Calibri"/>
                <w:b/>
                <w:bCs/>
                <w:i/>
                <w:iCs/>
                <w:color w:val="FFFFFF"/>
                <w:sz w:val="18"/>
                <w:szCs w:val="22"/>
              </w:rPr>
              <w:t>Agency</w:t>
            </w:r>
          </w:p>
        </w:tc>
        <w:tc>
          <w:tcPr>
            <w:tcW w:w="1317" w:type="pct"/>
            <w:tcBorders>
              <w:bottom w:val="single" w:sz="6" w:space="0" w:color="000000"/>
            </w:tcBorders>
            <w:shd w:val="solid" w:color="000080" w:fill="FFFFFF"/>
            <w:vAlign w:val="center"/>
          </w:tcPr>
          <w:p w:rsidR="008C2A0F" w:rsidRPr="007875DB" w:rsidRDefault="008C2A0F" w:rsidP="00256183">
            <w:pPr>
              <w:ind w:left="-33"/>
              <w:jc w:val="center"/>
              <w:rPr>
                <w:rFonts w:eastAsia="Calibri"/>
                <w:b/>
                <w:bCs/>
                <w:i/>
                <w:iCs/>
                <w:color w:val="FFFFFF"/>
                <w:sz w:val="18"/>
                <w:szCs w:val="22"/>
              </w:rPr>
            </w:pPr>
            <w:r w:rsidRPr="007875DB">
              <w:rPr>
                <w:rFonts w:eastAsia="Calibri"/>
                <w:b/>
                <w:bCs/>
                <w:i/>
                <w:iCs/>
                <w:color w:val="FFFFFF"/>
                <w:sz w:val="18"/>
                <w:szCs w:val="22"/>
              </w:rPr>
              <w:t>Forward mail 60 days to:</w:t>
            </w:r>
          </w:p>
        </w:tc>
      </w:tr>
      <w:tr w:rsidR="008C2A0F" w:rsidRPr="007875DB" w:rsidTr="008C2A0F">
        <w:trPr>
          <w:trHeight w:val="467"/>
        </w:trPr>
        <w:tc>
          <w:tcPr>
            <w:tcW w:w="1623" w:type="pct"/>
            <w:shd w:val="solid" w:color="C0C0C0" w:fill="FFFFFF"/>
            <w:vAlign w:val="center"/>
          </w:tcPr>
          <w:p w:rsidR="008C2A0F" w:rsidRDefault="008C2A0F" w:rsidP="00256183">
            <w:pPr>
              <w:jc w:val="center"/>
              <w:rPr>
                <w:rFonts w:eastAsia="Calibri"/>
                <w:b/>
                <w:bCs/>
                <w:color w:val="000080"/>
                <w:sz w:val="24"/>
                <w:szCs w:val="24"/>
              </w:rPr>
            </w:pPr>
          </w:p>
          <w:p w:rsidR="00133313" w:rsidRDefault="00133313" w:rsidP="00256183">
            <w:pPr>
              <w:jc w:val="center"/>
              <w:rPr>
                <w:rFonts w:eastAsia="Calibri"/>
                <w:b/>
                <w:bCs/>
                <w:color w:val="000080"/>
                <w:sz w:val="24"/>
                <w:szCs w:val="24"/>
              </w:rPr>
            </w:pPr>
          </w:p>
          <w:p w:rsidR="00133313" w:rsidRPr="007875DB" w:rsidRDefault="00133313" w:rsidP="00256183">
            <w:pPr>
              <w:jc w:val="center"/>
              <w:rPr>
                <w:rFonts w:eastAsia="Calibri"/>
                <w:b/>
                <w:bCs/>
                <w:color w:val="000080"/>
                <w:sz w:val="24"/>
                <w:szCs w:val="24"/>
              </w:rPr>
            </w:pPr>
          </w:p>
        </w:tc>
        <w:tc>
          <w:tcPr>
            <w:tcW w:w="1032" w:type="pct"/>
            <w:shd w:val="solid" w:color="C0C0C0" w:fill="FFFFFF"/>
            <w:vAlign w:val="center"/>
          </w:tcPr>
          <w:p w:rsidR="008C2A0F" w:rsidRPr="007875DB" w:rsidRDefault="008C2A0F" w:rsidP="00256183">
            <w:pPr>
              <w:ind w:left="-33"/>
              <w:jc w:val="center"/>
              <w:rPr>
                <w:rFonts w:eastAsia="Calibri"/>
                <w:b/>
                <w:color w:val="000080"/>
                <w:sz w:val="24"/>
                <w:szCs w:val="24"/>
              </w:rPr>
            </w:pPr>
          </w:p>
        </w:tc>
        <w:tc>
          <w:tcPr>
            <w:tcW w:w="1028" w:type="pct"/>
            <w:shd w:val="solid" w:color="C0C0C0" w:fill="FFFFFF"/>
            <w:vAlign w:val="center"/>
          </w:tcPr>
          <w:p w:rsidR="008C2A0F" w:rsidRPr="007875DB" w:rsidRDefault="008C2A0F" w:rsidP="00256183">
            <w:pPr>
              <w:ind w:left="-33"/>
              <w:rPr>
                <w:rFonts w:eastAsia="Calibri"/>
                <w:b/>
                <w:color w:val="000080"/>
                <w:sz w:val="24"/>
                <w:szCs w:val="24"/>
              </w:rPr>
            </w:pPr>
          </w:p>
        </w:tc>
        <w:tc>
          <w:tcPr>
            <w:tcW w:w="1317" w:type="pct"/>
            <w:shd w:val="solid" w:color="C0C0C0" w:fill="FFFFFF"/>
            <w:vAlign w:val="center"/>
          </w:tcPr>
          <w:p w:rsidR="008C2A0F" w:rsidRPr="007875DB" w:rsidRDefault="008C2A0F" w:rsidP="00256183">
            <w:pPr>
              <w:ind w:left="-33"/>
              <w:jc w:val="center"/>
              <w:rPr>
                <w:rFonts w:eastAsia="Calibri"/>
                <w:b/>
                <w:color w:val="000080"/>
                <w:sz w:val="24"/>
                <w:szCs w:val="24"/>
              </w:rPr>
            </w:pPr>
          </w:p>
        </w:tc>
      </w:tr>
    </w:tbl>
    <w:p w:rsidR="008C2A0F" w:rsidRDefault="008C2A0F" w:rsidP="005A6DB9">
      <w:pPr>
        <w:jc w:val="center"/>
        <w:rPr>
          <w:sz w:val="20"/>
        </w:rPr>
      </w:pPr>
    </w:p>
    <w:p w:rsidR="005A6DB9" w:rsidRPr="005A6DB9" w:rsidRDefault="005A6DB9" w:rsidP="005A6DB9">
      <w:pPr>
        <w:jc w:val="center"/>
        <w:rPr>
          <w:rFonts w:asciiTheme="minorHAnsi" w:hAnsiTheme="minorHAnsi"/>
          <w:b/>
          <w:sz w:val="20"/>
        </w:rPr>
      </w:pPr>
      <w:r w:rsidRPr="005A6DB9">
        <w:rPr>
          <w:rFonts w:asciiTheme="minorHAnsi" w:hAnsiTheme="minorHAnsi"/>
          <w:b/>
          <w:sz w:val="20"/>
        </w:rPr>
        <w:t>EFFECTIVE DATE:   _______________________________________________________________________</w:t>
      </w:r>
    </w:p>
    <w:p w:rsidR="008C2A0F" w:rsidRPr="005A6DB9" w:rsidRDefault="008C2A0F" w:rsidP="008C2A0F">
      <w:pPr>
        <w:rPr>
          <w:rFonts w:asciiTheme="minorHAnsi" w:hAnsiTheme="minorHAnsi"/>
          <w:sz w:val="20"/>
        </w:rPr>
      </w:pPr>
    </w:p>
    <w:p w:rsidR="008C2A0F" w:rsidRPr="005A6DB9" w:rsidRDefault="008C2A0F" w:rsidP="008C2A0F">
      <w:pPr>
        <w:pStyle w:val="NoSpacing"/>
        <w:jc w:val="center"/>
        <w:rPr>
          <w:rFonts w:asciiTheme="minorHAnsi" w:hAnsiTheme="minorHAnsi" w:cs="Helvetica"/>
          <w:sz w:val="24"/>
        </w:rPr>
      </w:pPr>
      <w:r w:rsidRPr="005A6DB9">
        <w:rPr>
          <w:rFonts w:asciiTheme="minorHAnsi" w:hAnsiTheme="minorHAnsi" w:cs="Helvetica"/>
          <w:sz w:val="24"/>
        </w:rPr>
        <w:t xml:space="preserve">The Mail Service Center requires verification from an </w:t>
      </w:r>
      <w:r w:rsidRPr="005A6DB9">
        <w:rPr>
          <w:rFonts w:asciiTheme="minorHAnsi" w:hAnsiTheme="minorHAnsi" w:cs="Helvetica"/>
          <w:sz w:val="24"/>
          <w:u w:val="single"/>
        </w:rPr>
        <w:t>authorized designee</w:t>
      </w:r>
      <w:r w:rsidRPr="005A6DB9">
        <w:rPr>
          <w:rFonts w:asciiTheme="minorHAnsi" w:hAnsiTheme="minorHAnsi" w:cs="Helvetica"/>
          <w:sz w:val="24"/>
        </w:rPr>
        <w:t xml:space="preserve"> to make changes to an official MSC mailing address.  Please verify the request with a signature and return this form to:</w:t>
      </w:r>
    </w:p>
    <w:p w:rsidR="008C2A0F" w:rsidRPr="005A6DB9" w:rsidRDefault="008C2A0F" w:rsidP="008C2A0F">
      <w:pPr>
        <w:pStyle w:val="NoSpacing"/>
        <w:rPr>
          <w:rFonts w:asciiTheme="minorHAnsi" w:hAnsiTheme="minorHAnsi"/>
        </w:rPr>
      </w:pPr>
      <w:r w:rsidRPr="005A6DB9">
        <w:rPr>
          <w:rFonts w:asciiTheme="minorHAnsi" w:hAnsiTheme="minorHAnsi"/>
        </w:rPr>
        <w:tab/>
      </w:r>
    </w:p>
    <w:p w:rsidR="008C2A0F" w:rsidRPr="00C90EA4" w:rsidRDefault="008C2A0F" w:rsidP="008C2A0F">
      <w:pPr>
        <w:pStyle w:val="NoSpacing"/>
        <w:jc w:val="center"/>
        <w:rPr>
          <w:b/>
        </w:rPr>
      </w:pPr>
      <w:r w:rsidRPr="00C90EA4">
        <w:rPr>
          <w:b/>
        </w:rPr>
        <w:t>Mail Service Center</w:t>
      </w:r>
      <w:r w:rsidR="00133313">
        <w:rPr>
          <w:b/>
        </w:rPr>
        <w:t xml:space="preserve"> -</w:t>
      </w:r>
      <w:r w:rsidRPr="00C90EA4">
        <w:rPr>
          <w:b/>
        </w:rPr>
        <w:t xml:space="preserve"> 5901 Mail Service Center</w:t>
      </w:r>
      <w:r w:rsidR="00133313">
        <w:rPr>
          <w:b/>
        </w:rPr>
        <w:t xml:space="preserve"> -</w:t>
      </w:r>
      <w:r w:rsidRPr="00C90EA4">
        <w:rPr>
          <w:b/>
        </w:rPr>
        <w:t xml:space="preserve"> Raleigh NC 27699</w:t>
      </w:r>
    </w:p>
    <w:p w:rsidR="008C2A0F" w:rsidRPr="00A5621F" w:rsidRDefault="008C2A0F" w:rsidP="008C2A0F">
      <w:pPr>
        <w:pStyle w:val="NoSpacing"/>
        <w:ind w:left="360" w:right="450"/>
        <w:jc w:val="center"/>
      </w:pPr>
    </w:p>
    <w:p w:rsidR="008C2A0F" w:rsidRPr="00A5621F" w:rsidRDefault="008C2A0F" w:rsidP="008C2A0F">
      <w:pPr>
        <w:pStyle w:val="NoSpacing"/>
        <w:ind w:left="360" w:right="450"/>
        <w:rPr>
          <w:sz w:val="8"/>
        </w:rPr>
      </w:pPr>
    </w:p>
    <w:p w:rsidR="008C2A0F" w:rsidRDefault="008C2A0F" w:rsidP="008C2A0F">
      <w:pPr>
        <w:pStyle w:val="NoSpacing"/>
        <w:ind w:right="450"/>
        <w:rPr>
          <w:b/>
          <w:sz w:val="24"/>
        </w:rPr>
      </w:pPr>
      <w:r w:rsidRPr="008C2A0F">
        <w:rPr>
          <w:b/>
          <w:sz w:val="24"/>
        </w:rPr>
        <w:t>The decision to deactivate this address is based on the following reasons:</w:t>
      </w:r>
    </w:p>
    <w:p w:rsidR="008C2A0F" w:rsidRPr="008C2A0F" w:rsidRDefault="008C2A0F" w:rsidP="008C2A0F">
      <w:pPr>
        <w:pStyle w:val="NoSpacing"/>
        <w:ind w:right="450"/>
        <w:rPr>
          <w:b/>
          <w:sz w:val="24"/>
        </w:rPr>
      </w:pPr>
    </w:p>
    <w:p w:rsidR="008C2A0F" w:rsidRPr="00A5621F" w:rsidRDefault="008C2A0F" w:rsidP="008C2A0F">
      <w:pPr>
        <w:pStyle w:val="NoSpacing"/>
        <w:ind w:left="360" w:right="450"/>
        <w:rPr>
          <w:b/>
          <w:sz w:val="4"/>
        </w:rPr>
      </w:pPr>
    </w:p>
    <w:p w:rsidR="008C2A0F" w:rsidRPr="000D7F63" w:rsidRDefault="008C2A0F" w:rsidP="008C2A0F">
      <w:pPr>
        <w:pStyle w:val="NoSpacing"/>
        <w:tabs>
          <w:tab w:val="left" w:pos="5940"/>
        </w:tabs>
        <w:ind w:left="360" w:right="450"/>
      </w:pPr>
      <w:r w:rsidRPr="000D7F63">
        <w:rPr>
          <w:noProof/>
        </w:rPr>
        <mc:AlternateContent>
          <mc:Choice Requires="wpg">
            <w:drawing>
              <wp:anchor distT="0" distB="0" distL="114300" distR="114300" simplePos="0" relativeHeight="251661312" behindDoc="0" locked="0" layoutInCell="1" allowOverlap="1">
                <wp:simplePos x="0" y="0"/>
                <wp:positionH relativeFrom="column">
                  <wp:posOffset>79375</wp:posOffset>
                </wp:positionH>
                <wp:positionV relativeFrom="paragraph">
                  <wp:posOffset>36830</wp:posOffset>
                </wp:positionV>
                <wp:extent cx="90805" cy="258445"/>
                <wp:effectExtent l="5080" t="11430" r="8890" b="635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258445"/>
                          <a:chOff x="1043" y="6209"/>
                          <a:chExt cx="143" cy="407"/>
                        </a:xfrm>
                      </wpg:grpSpPr>
                      <wps:wsp>
                        <wps:cNvPr id="7" name="Rectangle 5"/>
                        <wps:cNvSpPr>
                          <a:spLocks noChangeArrowheads="1"/>
                        </wps:cNvSpPr>
                        <wps:spPr bwMode="auto">
                          <a:xfrm>
                            <a:off x="1043" y="6209"/>
                            <a:ext cx="143" cy="1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6"/>
                        <wps:cNvSpPr>
                          <a:spLocks noChangeArrowheads="1"/>
                        </wps:cNvSpPr>
                        <wps:spPr bwMode="auto">
                          <a:xfrm>
                            <a:off x="1043" y="6449"/>
                            <a:ext cx="143" cy="1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3430CA" id="Group 6" o:spid="_x0000_s1026" style="position:absolute;margin-left:6.25pt;margin-top:2.9pt;width:7.15pt;height:20.35pt;z-index:251661312" coordorigin="1043,6209" coordsize="143,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">
                <v:rect id="Rectangle 5" o:spid="_x0000_s1027" style="position:absolute;left:1043;top:6209;width:143;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6" o:spid="_x0000_s1028" style="position:absolute;left:1043;top:6449;width:143;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group>
            </w:pict>
          </mc:Fallback>
        </mc:AlternateContent>
      </w:r>
      <w:r w:rsidRPr="000D7F63">
        <w:rPr>
          <w:noProof/>
        </w:rPr>
        <mc:AlternateContent>
          <mc:Choice Requires="wpg">
            <w:drawing>
              <wp:anchor distT="0" distB="0" distL="114300" distR="114300" simplePos="0" relativeHeight="251662336" behindDoc="0" locked="0" layoutInCell="1" allowOverlap="1">
                <wp:simplePos x="0" y="0"/>
                <wp:positionH relativeFrom="column">
                  <wp:posOffset>3632835</wp:posOffset>
                </wp:positionH>
                <wp:positionV relativeFrom="paragraph">
                  <wp:posOffset>35560</wp:posOffset>
                </wp:positionV>
                <wp:extent cx="90805" cy="258445"/>
                <wp:effectExtent l="5715" t="10160" r="8255" b="762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258445"/>
                          <a:chOff x="1043" y="6209"/>
                          <a:chExt cx="143" cy="407"/>
                        </a:xfrm>
                      </wpg:grpSpPr>
                      <wps:wsp>
                        <wps:cNvPr id="4" name="Rectangle 8"/>
                        <wps:cNvSpPr>
                          <a:spLocks noChangeArrowheads="1"/>
                        </wps:cNvSpPr>
                        <wps:spPr bwMode="auto">
                          <a:xfrm>
                            <a:off x="1043" y="6209"/>
                            <a:ext cx="143" cy="1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9"/>
                        <wps:cNvSpPr>
                          <a:spLocks noChangeArrowheads="1"/>
                        </wps:cNvSpPr>
                        <wps:spPr bwMode="auto">
                          <a:xfrm>
                            <a:off x="1043" y="6449"/>
                            <a:ext cx="143" cy="1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9DAD31" id="Group 3" o:spid="_x0000_s1026" style="position:absolute;margin-left:286.05pt;margin-top:2.8pt;width:7.15pt;height:20.35pt;z-index:251662336" coordorigin="1043,6209" coordsize="143,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">
                <v:rect id="Rectangle 8" o:spid="_x0000_s1027" style="position:absolute;left:1043;top:6209;width:143;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rect id="Rectangle 9" o:spid="_x0000_s1028" style="position:absolute;left:1043;top:6449;width:143;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group>
            </w:pict>
          </mc:Fallback>
        </mc:AlternateContent>
      </w:r>
      <w:r w:rsidRPr="000D7F63">
        <w:t xml:space="preserve">Consolidation of Divisions or work areas (see #1 below) </w:t>
      </w:r>
      <w:r w:rsidRPr="000D7F63">
        <w:tab/>
        <w:t xml:space="preserve">Service did not meet expectations </w:t>
      </w:r>
    </w:p>
    <w:p w:rsidR="008C2A0F" w:rsidRPr="000D7F63" w:rsidRDefault="008C2A0F" w:rsidP="008C2A0F">
      <w:pPr>
        <w:pStyle w:val="NoSpacing"/>
        <w:tabs>
          <w:tab w:val="left" w:pos="5940"/>
        </w:tabs>
        <w:ind w:left="360" w:right="450"/>
      </w:pPr>
      <w:r w:rsidRPr="000D7F63">
        <w:t xml:space="preserve">Budget revisions </w:t>
      </w:r>
      <w:r w:rsidRPr="003311F5">
        <w:rPr>
          <w:i/>
        </w:rPr>
        <w:t>(see #2, 3 and 4)</w:t>
      </w:r>
      <w:r w:rsidRPr="000D7F63">
        <w:tab/>
        <w:t xml:space="preserve">Service provided internally </w:t>
      </w:r>
      <w:r w:rsidRPr="003311F5">
        <w:rPr>
          <w:i/>
        </w:rPr>
        <w:t>(see #</w:t>
      </w:r>
      <w:r w:rsidR="00690F22">
        <w:rPr>
          <w:i/>
        </w:rPr>
        <w:t>3</w:t>
      </w:r>
      <w:r w:rsidRPr="003311F5">
        <w:rPr>
          <w:i/>
        </w:rPr>
        <w:t>)</w:t>
      </w:r>
      <w:r w:rsidRPr="000D7F63">
        <w:tab/>
      </w:r>
      <w:r w:rsidRPr="000D7F63">
        <w:tab/>
      </w:r>
    </w:p>
    <w:p w:rsidR="008C2A0F" w:rsidRDefault="008C2A0F" w:rsidP="008C2A0F">
      <w:pPr>
        <w:ind w:right="450"/>
      </w:pPr>
      <w:r w:rsidRPr="00155961">
        <w:rPr>
          <w:i/>
          <w:sz w:val="14"/>
        </w:rPr>
        <w:t>Comments:</w:t>
      </w:r>
      <w:r>
        <w:rPr>
          <w:sz w:val="20"/>
        </w:rPr>
        <w:t xml:space="preserve"> </w:t>
      </w:r>
      <w:r>
        <w:t xml:space="preserve">      </w:t>
      </w:r>
    </w:p>
    <w:tbl>
      <w:tblPr>
        <w:tblStyle w:val="TableGrid"/>
        <w:tblW w:w="0" w:type="auto"/>
        <w:tblLook w:val="04A0" w:firstRow="1" w:lastRow="0" w:firstColumn="1" w:lastColumn="0" w:noHBand="0" w:noVBand="1"/>
      </w:tblPr>
      <w:tblGrid>
        <w:gridCol w:w="10430"/>
      </w:tblGrid>
      <w:tr w:rsidR="002F42A9" w:rsidTr="002F42A9">
        <w:tc>
          <w:tcPr>
            <w:tcW w:w="10430" w:type="dxa"/>
          </w:tcPr>
          <w:p w:rsidR="002F42A9" w:rsidRDefault="002F42A9" w:rsidP="008C2A0F">
            <w:pPr>
              <w:ind w:right="450"/>
            </w:pPr>
          </w:p>
          <w:p w:rsidR="002F42A9" w:rsidRDefault="002F42A9" w:rsidP="008C2A0F">
            <w:pPr>
              <w:ind w:right="450"/>
            </w:pPr>
          </w:p>
        </w:tc>
      </w:tr>
      <w:tr w:rsidR="002F42A9" w:rsidTr="002F42A9">
        <w:tc>
          <w:tcPr>
            <w:tcW w:w="10430" w:type="dxa"/>
          </w:tcPr>
          <w:p w:rsidR="002F42A9" w:rsidRDefault="002F42A9" w:rsidP="008C2A0F">
            <w:pPr>
              <w:ind w:right="450"/>
            </w:pPr>
          </w:p>
          <w:p w:rsidR="002F42A9" w:rsidRDefault="002F42A9" w:rsidP="008C2A0F">
            <w:pPr>
              <w:ind w:right="450"/>
            </w:pPr>
          </w:p>
        </w:tc>
      </w:tr>
      <w:tr w:rsidR="002F42A9" w:rsidTr="002F42A9">
        <w:tc>
          <w:tcPr>
            <w:tcW w:w="10430" w:type="dxa"/>
          </w:tcPr>
          <w:p w:rsidR="002F42A9" w:rsidRDefault="002F42A9" w:rsidP="008C2A0F">
            <w:pPr>
              <w:ind w:right="450"/>
            </w:pPr>
          </w:p>
          <w:p w:rsidR="002F42A9" w:rsidRDefault="002F42A9" w:rsidP="008C2A0F">
            <w:pPr>
              <w:ind w:right="450"/>
            </w:pPr>
          </w:p>
        </w:tc>
      </w:tr>
    </w:tbl>
    <w:p w:rsidR="008C2A0F" w:rsidRPr="00114075" w:rsidRDefault="008C2A0F" w:rsidP="008C2A0F">
      <w:pPr>
        <w:ind w:right="450"/>
      </w:pPr>
    </w:p>
    <w:p w:rsidR="00E42544" w:rsidRDefault="00E42544" w:rsidP="008C2A0F">
      <w:pPr>
        <w:pBdr>
          <w:bottom w:val="single" w:sz="12" w:space="1" w:color="auto"/>
        </w:pBdr>
        <w:ind w:right="450"/>
        <w:rPr>
          <w:sz w:val="20"/>
          <w:u w:val="single"/>
        </w:rPr>
      </w:pPr>
    </w:p>
    <w:p w:rsidR="008C2A0F" w:rsidRPr="008C2A0F" w:rsidRDefault="008C2A0F" w:rsidP="008C2A0F">
      <w:pPr>
        <w:ind w:right="450"/>
        <w:rPr>
          <w:i/>
          <w:sz w:val="18"/>
        </w:rPr>
      </w:pPr>
      <w:r w:rsidRPr="008C2A0F">
        <w:rPr>
          <w:i/>
          <w:sz w:val="18"/>
        </w:rPr>
        <w:t>Signature</w:t>
      </w:r>
      <w:r>
        <w:rPr>
          <w:i/>
          <w:sz w:val="18"/>
        </w:rPr>
        <w:tab/>
      </w:r>
      <w:r>
        <w:rPr>
          <w:i/>
          <w:sz w:val="18"/>
        </w:rPr>
        <w:tab/>
      </w:r>
      <w:r>
        <w:rPr>
          <w:i/>
          <w:sz w:val="18"/>
        </w:rPr>
        <w:tab/>
      </w:r>
      <w:r>
        <w:rPr>
          <w:i/>
          <w:sz w:val="18"/>
        </w:rPr>
        <w:tab/>
      </w:r>
      <w:r>
        <w:rPr>
          <w:i/>
          <w:sz w:val="18"/>
        </w:rPr>
        <w:tab/>
      </w:r>
      <w:r>
        <w:rPr>
          <w:i/>
          <w:sz w:val="18"/>
        </w:rPr>
        <w:tab/>
        <w:t>Title</w:t>
      </w:r>
    </w:p>
    <w:p w:rsidR="008C2A0F" w:rsidRPr="00F94A25" w:rsidRDefault="008C2A0F" w:rsidP="008C2A0F">
      <w:pPr>
        <w:ind w:right="450"/>
        <w:rPr>
          <w:sz w:val="20"/>
          <w:u w:val="single"/>
        </w:rPr>
      </w:pPr>
    </w:p>
    <w:p w:rsidR="008C2A0F" w:rsidRPr="008C2A0F" w:rsidRDefault="008C2A0F" w:rsidP="008C2A0F">
      <w:pPr>
        <w:ind w:right="450"/>
        <w:rPr>
          <w:sz w:val="4"/>
          <w:u w:val="single"/>
        </w:rPr>
      </w:pPr>
    </w:p>
    <w:p w:rsidR="008C2A0F" w:rsidRDefault="008C2A0F" w:rsidP="008C2A0F">
      <w:pPr>
        <w:pBdr>
          <w:bottom w:val="single" w:sz="12" w:space="1" w:color="auto"/>
        </w:pBdr>
        <w:ind w:right="450"/>
        <w:rPr>
          <w:sz w:val="20"/>
          <w:u w:val="single"/>
        </w:rPr>
      </w:pPr>
    </w:p>
    <w:p w:rsidR="008C2A0F" w:rsidRPr="008C2A0F" w:rsidRDefault="008C2A0F" w:rsidP="008C2A0F">
      <w:pPr>
        <w:ind w:right="450"/>
        <w:rPr>
          <w:i/>
          <w:sz w:val="18"/>
        </w:rPr>
      </w:pPr>
      <w:r>
        <w:rPr>
          <w:i/>
          <w:sz w:val="18"/>
        </w:rPr>
        <w:t>Printed Name</w:t>
      </w:r>
      <w:r>
        <w:rPr>
          <w:i/>
          <w:sz w:val="18"/>
        </w:rPr>
        <w:tab/>
      </w:r>
      <w:r>
        <w:rPr>
          <w:i/>
          <w:sz w:val="18"/>
        </w:rPr>
        <w:tab/>
      </w:r>
      <w:r>
        <w:rPr>
          <w:i/>
          <w:sz w:val="18"/>
        </w:rPr>
        <w:tab/>
      </w:r>
      <w:r>
        <w:rPr>
          <w:i/>
          <w:sz w:val="18"/>
        </w:rPr>
        <w:tab/>
      </w:r>
      <w:r>
        <w:rPr>
          <w:i/>
          <w:sz w:val="18"/>
        </w:rPr>
        <w:tab/>
      </w:r>
      <w:r>
        <w:rPr>
          <w:i/>
          <w:sz w:val="18"/>
        </w:rPr>
        <w:tab/>
        <w:t>Date</w:t>
      </w:r>
    </w:p>
    <w:p w:rsidR="00690F22" w:rsidRDefault="00690F22" w:rsidP="00E42544">
      <w:pPr>
        <w:pStyle w:val="NoSpacing"/>
        <w:ind w:right="450"/>
        <w:rPr>
          <w:sz w:val="18"/>
        </w:rPr>
      </w:pPr>
    </w:p>
    <w:p w:rsidR="00E42544" w:rsidRDefault="00E42544" w:rsidP="00E42544">
      <w:pPr>
        <w:pStyle w:val="NoSpacing"/>
        <w:ind w:right="450"/>
        <w:rPr>
          <w:sz w:val="18"/>
        </w:rPr>
      </w:pPr>
    </w:p>
    <w:p w:rsidR="008C2A0F" w:rsidRPr="008C2A0F" w:rsidRDefault="008C2A0F" w:rsidP="002F42A9">
      <w:pPr>
        <w:pStyle w:val="ListParagraph"/>
        <w:numPr>
          <w:ilvl w:val="0"/>
          <w:numId w:val="1"/>
        </w:numPr>
        <w:ind w:left="360" w:right="450"/>
        <w:rPr>
          <w:sz w:val="20"/>
        </w:rPr>
      </w:pPr>
      <w:r w:rsidRPr="008C2A0F">
        <w:rPr>
          <w:b/>
          <w:sz w:val="20"/>
          <w:u w:val="single"/>
        </w:rPr>
        <w:t>Mail addressed to a deactivated MSC address is redirected for 60 days</w:t>
      </w:r>
      <w:r w:rsidRPr="008C2A0F">
        <w:rPr>
          <w:b/>
          <w:sz w:val="20"/>
        </w:rPr>
        <w:t>:</w:t>
      </w:r>
      <w:r w:rsidRPr="008C2A0F">
        <w:rPr>
          <w:sz w:val="20"/>
        </w:rPr>
        <w:t xml:space="preserve">  This policy provides time for an Agency to update their websites, email signature blocks, business cards, stationery, and updating contacts with the new address.  After 60 days, the mail is ‘returned to sender’. </w:t>
      </w:r>
    </w:p>
    <w:p w:rsidR="008C2A0F" w:rsidRPr="008C2A0F" w:rsidRDefault="008C2A0F" w:rsidP="002F42A9">
      <w:pPr>
        <w:pStyle w:val="ListParagraph"/>
        <w:ind w:left="360" w:right="450"/>
        <w:rPr>
          <w:sz w:val="20"/>
        </w:rPr>
      </w:pPr>
    </w:p>
    <w:p w:rsidR="008C2A0F" w:rsidRPr="008C2A0F" w:rsidRDefault="008C2A0F" w:rsidP="002F42A9">
      <w:pPr>
        <w:pStyle w:val="ListParagraph"/>
        <w:numPr>
          <w:ilvl w:val="0"/>
          <w:numId w:val="1"/>
        </w:numPr>
        <w:ind w:left="360" w:right="450"/>
        <w:rPr>
          <w:sz w:val="20"/>
        </w:rPr>
      </w:pPr>
      <w:r w:rsidRPr="008C2A0F">
        <w:rPr>
          <w:b/>
          <w:sz w:val="20"/>
          <w:u w:val="single"/>
        </w:rPr>
        <w:t>Do not use street address:</w:t>
      </w:r>
      <w:r w:rsidRPr="008C2A0F">
        <w:rPr>
          <w:sz w:val="20"/>
        </w:rPr>
        <w:t xml:space="preserve"> </w:t>
      </w:r>
      <w:r w:rsidR="002F42A9">
        <w:rPr>
          <w:sz w:val="20"/>
        </w:rPr>
        <w:t xml:space="preserve"> </w:t>
      </w:r>
      <w:r w:rsidRPr="008C2A0F">
        <w:rPr>
          <w:sz w:val="20"/>
        </w:rPr>
        <w:t xml:space="preserve">Most </w:t>
      </w:r>
      <w:r w:rsidR="002F42A9">
        <w:rPr>
          <w:sz w:val="20"/>
        </w:rPr>
        <w:t>s</w:t>
      </w:r>
      <w:r w:rsidRPr="008C2A0F">
        <w:rPr>
          <w:sz w:val="20"/>
        </w:rPr>
        <w:t xml:space="preserve">tate </w:t>
      </w:r>
      <w:r w:rsidR="002F42A9">
        <w:rPr>
          <w:sz w:val="20"/>
        </w:rPr>
        <w:t>b</w:t>
      </w:r>
      <w:r w:rsidRPr="008C2A0F">
        <w:rPr>
          <w:sz w:val="20"/>
        </w:rPr>
        <w:t xml:space="preserve">uildings have addresses that are flagged as undeliverable by the USPS </w:t>
      </w:r>
      <w:r w:rsidR="002F42A9">
        <w:rPr>
          <w:sz w:val="20"/>
        </w:rPr>
        <w:t xml:space="preserve">and some </w:t>
      </w:r>
      <w:r w:rsidRPr="008C2A0F">
        <w:rPr>
          <w:sz w:val="20"/>
        </w:rPr>
        <w:t xml:space="preserve">private carriers.  Mail addressed to an undeliverable street address </w:t>
      </w:r>
      <w:r w:rsidR="00690F22">
        <w:rPr>
          <w:sz w:val="20"/>
        </w:rPr>
        <w:t>is</w:t>
      </w:r>
      <w:r w:rsidRPr="008C2A0F">
        <w:rPr>
          <w:sz w:val="20"/>
        </w:rPr>
        <w:t xml:space="preserve"> returned to sender </w:t>
      </w:r>
      <w:r w:rsidRPr="002F42A9">
        <w:rPr>
          <w:sz w:val="20"/>
          <w:u w:val="single"/>
        </w:rPr>
        <w:t>or</w:t>
      </w:r>
      <w:r w:rsidRPr="008C2A0F">
        <w:rPr>
          <w:sz w:val="20"/>
        </w:rPr>
        <w:t xml:space="preserve"> </w:t>
      </w:r>
      <w:r w:rsidR="00690F22">
        <w:rPr>
          <w:sz w:val="20"/>
        </w:rPr>
        <w:t xml:space="preserve">directed </w:t>
      </w:r>
      <w:r w:rsidRPr="008C2A0F">
        <w:rPr>
          <w:sz w:val="20"/>
        </w:rPr>
        <w:t>to the Mail Service Center.  The MSC attempts to match the mail to an active MSC address</w:t>
      </w:r>
      <w:r w:rsidR="002F42A9">
        <w:rPr>
          <w:sz w:val="20"/>
        </w:rPr>
        <w:t xml:space="preserve">.  </w:t>
      </w:r>
      <w:r w:rsidRPr="008C2A0F">
        <w:rPr>
          <w:sz w:val="20"/>
        </w:rPr>
        <w:t xml:space="preserve">In all scenarios, the mail is delayed or returned to sender.  </w:t>
      </w:r>
    </w:p>
    <w:p w:rsidR="008C2A0F" w:rsidRPr="008C2A0F" w:rsidRDefault="008C2A0F" w:rsidP="002F42A9">
      <w:pPr>
        <w:pStyle w:val="ListParagraph"/>
        <w:ind w:left="360" w:right="450"/>
        <w:rPr>
          <w:sz w:val="20"/>
        </w:rPr>
      </w:pPr>
    </w:p>
    <w:p w:rsidR="008C2A0F" w:rsidRDefault="008C2A0F" w:rsidP="002F42A9">
      <w:pPr>
        <w:pStyle w:val="ListParagraph"/>
        <w:numPr>
          <w:ilvl w:val="0"/>
          <w:numId w:val="1"/>
        </w:numPr>
        <w:spacing w:line="240" w:lineRule="auto"/>
        <w:ind w:left="360" w:right="450"/>
        <w:rPr>
          <w:i/>
          <w:sz w:val="20"/>
        </w:rPr>
      </w:pPr>
      <w:r w:rsidRPr="008C2A0F">
        <w:rPr>
          <w:b/>
          <w:sz w:val="20"/>
          <w:u w:val="single"/>
        </w:rPr>
        <w:t>General Statute 143-341 (g):</w:t>
      </w:r>
      <w:r w:rsidRPr="008C2A0F">
        <w:rPr>
          <w:b/>
          <w:sz w:val="20"/>
        </w:rPr>
        <w:t xml:space="preserve">  </w:t>
      </w:r>
      <w:r w:rsidRPr="008C2A0F">
        <w:rPr>
          <w:sz w:val="20"/>
        </w:rPr>
        <w:t xml:space="preserve">The language in this Statute centralized mail services by consolidating independent mailrooms and established the mandatory use of the Mail Service Center.  </w:t>
      </w:r>
      <w:r w:rsidRPr="008C2A0F">
        <w:rPr>
          <w:i/>
          <w:sz w:val="20"/>
        </w:rPr>
        <w:t>“To establish and operate a mail service center that shall be used by all State agencies…...”</w:t>
      </w:r>
    </w:p>
    <w:p w:rsidR="002F42A9" w:rsidRPr="002F42A9" w:rsidRDefault="002F42A9" w:rsidP="002F42A9">
      <w:pPr>
        <w:pStyle w:val="ListParagraph"/>
        <w:rPr>
          <w:i/>
          <w:sz w:val="20"/>
        </w:rPr>
      </w:pPr>
    </w:p>
    <w:p w:rsidR="002F42A9" w:rsidRPr="008C2A0F" w:rsidRDefault="002F42A9" w:rsidP="002F42A9">
      <w:pPr>
        <w:pStyle w:val="ListParagraph"/>
        <w:numPr>
          <w:ilvl w:val="0"/>
          <w:numId w:val="1"/>
        </w:numPr>
        <w:ind w:left="360" w:right="450"/>
        <w:rPr>
          <w:sz w:val="20"/>
        </w:rPr>
      </w:pPr>
      <w:r w:rsidRPr="008C2A0F">
        <w:rPr>
          <w:b/>
          <w:sz w:val="20"/>
          <w:u w:val="single"/>
        </w:rPr>
        <w:t>Do not rent a PO Box:</w:t>
      </w:r>
      <w:r w:rsidRPr="008C2A0F">
        <w:rPr>
          <w:sz w:val="20"/>
        </w:rPr>
        <w:t xml:space="preserve">  Th</w:t>
      </w:r>
      <w:r>
        <w:rPr>
          <w:sz w:val="20"/>
        </w:rPr>
        <w:t xml:space="preserve">is is in direct conflict with the General Statute when the </w:t>
      </w:r>
      <w:r w:rsidRPr="008C2A0F">
        <w:rPr>
          <w:sz w:val="20"/>
        </w:rPr>
        <w:t xml:space="preserve">MSC </w:t>
      </w:r>
      <w:r>
        <w:rPr>
          <w:sz w:val="20"/>
        </w:rPr>
        <w:t xml:space="preserve">provides identical services for less expense.  </w:t>
      </w:r>
      <w:r w:rsidRPr="008C2A0F">
        <w:rPr>
          <w:sz w:val="20"/>
        </w:rPr>
        <w:t xml:space="preserve">  </w:t>
      </w:r>
    </w:p>
    <w:p w:rsidR="008C2A0F" w:rsidRPr="00104B75" w:rsidRDefault="008C2A0F" w:rsidP="008C2A0F">
      <w:pPr>
        <w:pStyle w:val="ListParagraph"/>
        <w:ind w:left="360" w:right="450"/>
        <w:rPr>
          <w:i/>
          <w:sz w:val="18"/>
        </w:rPr>
      </w:pPr>
    </w:p>
    <w:p w:rsidR="00E42544" w:rsidRPr="0044177E" w:rsidRDefault="00E42544" w:rsidP="00E42544">
      <w:pPr>
        <w:jc w:val="center"/>
        <w:rPr>
          <w:rFonts w:asciiTheme="minorHAnsi" w:eastAsia="Batang" w:hAnsiTheme="minorHAnsi"/>
          <w:b/>
          <w:sz w:val="28"/>
          <w:szCs w:val="28"/>
        </w:rPr>
      </w:pPr>
      <w:r w:rsidRPr="0044177E">
        <w:rPr>
          <w:rFonts w:asciiTheme="minorHAnsi" w:eastAsia="Batang" w:hAnsiTheme="minorHAnsi"/>
          <w:b/>
          <w:sz w:val="28"/>
          <w:szCs w:val="28"/>
        </w:rPr>
        <w:t>Please email this c</w:t>
      </w:r>
      <w:bookmarkStart w:id="0" w:name="_GoBack"/>
      <w:bookmarkEnd w:id="0"/>
      <w:r w:rsidRPr="0044177E">
        <w:rPr>
          <w:rFonts w:asciiTheme="minorHAnsi" w:eastAsia="Batang" w:hAnsiTheme="minorHAnsi"/>
          <w:b/>
          <w:sz w:val="28"/>
          <w:szCs w:val="28"/>
        </w:rPr>
        <w:t xml:space="preserve">ompleted form to </w:t>
      </w:r>
      <w:hyperlink r:id="rId7" w:history="1">
        <w:r w:rsidRPr="0044177E">
          <w:rPr>
            <w:rStyle w:val="Hyperlink"/>
            <w:rFonts w:asciiTheme="minorHAnsi" w:eastAsia="Batang" w:hAnsiTheme="minorHAnsi"/>
            <w:b/>
            <w:sz w:val="28"/>
            <w:szCs w:val="28"/>
          </w:rPr>
          <w:t>mschelp@doa.nc.gov</w:t>
        </w:r>
      </w:hyperlink>
      <w:r w:rsidRPr="0044177E">
        <w:rPr>
          <w:rFonts w:asciiTheme="minorHAnsi" w:eastAsia="Batang" w:hAnsiTheme="minorHAnsi"/>
          <w:b/>
          <w:sz w:val="28"/>
          <w:szCs w:val="28"/>
        </w:rPr>
        <w:t>.</w:t>
      </w:r>
    </w:p>
    <w:p w:rsidR="00E42544" w:rsidRDefault="00E42544" w:rsidP="00133313">
      <w:pPr>
        <w:pStyle w:val="NoSpacing"/>
        <w:ind w:left="360" w:right="450"/>
        <w:jc w:val="center"/>
      </w:pPr>
    </w:p>
    <w:sectPr w:rsidR="00E42544" w:rsidSect="008C2A0F">
      <w:headerReference w:type="even" r:id="rId8"/>
      <w:headerReference w:type="default" r:id="rId9"/>
      <w:footerReference w:type="default" r:id="rId10"/>
      <w:headerReference w:type="first" r:id="rId11"/>
      <w:pgSz w:w="12240" w:h="15840"/>
      <w:pgMar w:top="720" w:right="90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9AE" w:rsidRDefault="008849AE" w:rsidP="00BF3CD1">
      <w:r>
        <w:separator/>
      </w:r>
    </w:p>
  </w:endnote>
  <w:endnote w:type="continuationSeparator" w:id="0">
    <w:p w:rsidR="008849AE" w:rsidRDefault="008849AE" w:rsidP="00BF3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orthCarolinaRegular">
    <w:panose1 w:val="00000000000000000000"/>
    <w:charset w:val="00"/>
    <w:family w:val="modern"/>
    <w:notTrueType/>
    <w:pitch w:val="variable"/>
    <w:sig w:usb0="00000003" w:usb1="00000000" w:usb2="00000000" w:usb3="00000000" w:csb0="00000001" w:csb1="00000000"/>
  </w:font>
  <w:font w:name="NorthCarolina">
    <w:altName w:val="Times New Roman"/>
    <w:panose1 w:val="00000000000000000000"/>
    <w:charset w:val="00"/>
    <w:family w:val="modern"/>
    <w:notTrueType/>
    <w:pitch w:val="variable"/>
    <w:sig w:usb0="80000003" w:usb1="40000008"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CD1" w:rsidRPr="00BB1D96" w:rsidRDefault="00F7759C" w:rsidP="00BB1D96">
    <w:pPr>
      <w:pStyle w:val="BasicParagraph"/>
      <w:tabs>
        <w:tab w:val="right" w:pos="80"/>
      </w:tabs>
      <w:jc w:val="center"/>
      <w:rPr>
        <w:rFonts w:ascii="NorthCarolinaRegular" w:hAnsi="NorthCarolinaRegular" w:cs="NorthCarolina"/>
        <w:spacing w:val="-1"/>
        <w:sz w:val="16"/>
        <w:szCs w:val="16"/>
      </w:rPr>
    </w:pPr>
    <w:r>
      <w:rPr>
        <w:rFonts w:ascii="NorthCarolinaRegular" w:hAnsi="NorthCarolinaRegular" w:cs="NorthCarolina"/>
        <w:spacing w:val="-1"/>
        <w:sz w:val="16"/>
        <w:szCs w:val="16"/>
      </w:rPr>
      <w:t>Mail Service Center</w:t>
    </w:r>
    <w:r w:rsidR="00D31EED">
      <w:rPr>
        <w:rFonts w:ascii="NorthCarolinaRegular" w:hAnsi="NorthCarolinaRegular" w:cs="NorthCarolina"/>
        <w:spacing w:val="-1"/>
        <w:sz w:val="16"/>
        <w:szCs w:val="16"/>
      </w:rPr>
      <w:t xml:space="preserve"> |</w:t>
    </w:r>
    <w:r w:rsidR="00BB1D96">
      <w:rPr>
        <w:rFonts w:ascii="NorthCarolinaRegular" w:hAnsi="NorthCarolinaRegular" w:cs="NorthCarolina"/>
        <w:spacing w:val="-1"/>
        <w:sz w:val="16"/>
        <w:szCs w:val="16"/>
      </w:rPr>
      <w:t xml:space="preserve"> </w:t>
    </w:r>
    <w:r>
      <w:rPr>
        <w:rFonts w:ascii="NorthCarolinaRegular" w:hAnsi="NorthCarolinaRegular" w:cs="NorthCarolina"/>
        <w:spacing w:val="-1"/>
        <w:sz w:val="16"/>
        <w:szCs w:val="16"/>
      </w:rPr>
      <w:t xml:space="preserve">3905 Reedy Creek Rd | </w:t>
    </w:r>
    <w:r w:rsidR="00C57E55">
      <w:rPr>
        <w:rFonts w:ascii="NorthCarolinaRegular" w:hAnsi="NorthCarolinaRegular" w:cs="NorthCarolina"/>
        <w:spacing w:val="-1"/>
        <w:sz w:val="16"/>
        <w:szCs w:val="16"/>
      </w:rPr>
      <w:t xml:space="preserve">5901 </w:t>
    </w:r>
    <w:r w:rsidR="00C57E55" w:rsidRPr="00722621">
      <w:rPr>
        <w:rFonts w:ascii="NorthCarolinaRegular" w:hAnsi="NorthCarolinaRegular" w:cs="NorthCarolina"/>
        <w:spacing w:val="-1"/>
        <w:sz w:val="16"/>
        <w:szCs w:val="16"/>
      </w:rPr>
      <w:t>Mail</w:t>
    </w:r>
    <w:r w:rsidR="00BB1D96" w:rsidRPr="00722621">
      <w:rPr>
        <w:rFonts w:ascii="NorthCarolinaRegular" w:hAnsi="NorthCarolinaRegular" w:cs="NorthCarolina"/>
        <w:spacing w:val="-1"/>
        <w:sz w:val="16"/>
        <w:szCs w:val="16"/>
      </w:rPr>
      <w:t xml:space="preserve"> Service </w:t>
    </w:r>
    <w:r w:rsidR="00C93021">
      <w:rPr>
        <w:rFonts w:ascii="NorthCarolinaRegular" w:hAnsi="NorthCarolinaRegular" w:cs="NorthCarolina"/>
        <w:spacing w:val="-1"/>
        <w:sz w:val="16"/>
        <w:szCs w:val="16"/>
      </w:rPr>
      <w:t>Center</w:t>
    </w:r>
    <w:r w:rsidR="00BB1D96" w:rsidRPr="00722621">
      <w:rPr>
        <w:rFonts w:ascii="NorthCarolinaRegular" w:hAnsi="NorthCarolinaRegular" w:cs="NorthCarolina"/>
        <w:spacing w:val="-1"/>
        <w:sz w:val="16"/>
        <w:szCs w:val="16"/>
      </w:rPr>
      <w:t xml:space="preserve"> </w:t>
    </w:r>
    <w:r w:rsidR="00C57E55" w:rsidRPr="00722621">
      <w:rPr>
        <w:rFonts w:ascii="NorthCarolinaRegular" w:hAnsi="NorthCarolinaRegular" w:cs="NorthCarolina"/>
        <w:spacing w:val="-1"/>
        <w:sz w:val="16"/>
        <w:szCs w:val="16"/>
      </w:rPr>
      <w:t>| Raleigh</w:t>
    </w:r>
    <w:r w:rsidR="00BB1D96" w:rsidRPr="00722621">
      <w:rPr>
        <w:rFonts w:ascii="NorthCarolinaRegular" w:hAnsi="NorthCarolinaRegular" w:cs="NorthCarolina"/>
        <w:spacing w:val="-1"/>
        <w:sz w:val="16"/>
        <w:szCs w:val="16"/>
      </w:rPr>
      <w:t xml:space="preserve">, NC </w:t>
    </w:r>
    <w:r w:rsidR="00C57E55" w:rsidRPr="00722621">
      <w:rPr>
        <w:rFonts w:ascii="NorthCarolinaRegular" w:hAnsi="NorthCarolinaRegular" w:cs="NorthCarolina"/>
        <w:spacing w:val="-1"/>
        <w:sz w:val="16"/>
        <w:szCs w:val="16"/>
      </w:rPr>
      <w:t>276</w:t>
    </w:r>
    <w:r w:rsidR="00C57E55">
      <w:rPr>
        <w:rFonts w:ascii="NorthCarolinaRegular" w:hAnsi="NorthCarolinaRegular" w:cs="NorthCarolina"/>
        <w:spacing w:val="-1"/>
        <w:sz w:val="16"/>
        <w:szCs w:val="16"/>
      </w:rPr>
      <w:t xml:space="preserve">99 </w:t>
    </w:r>
    <w:r w:rsidR="00C57E55" w:rsidRPr="00722621">
      <w:rPr>
        <w:rFonts w:ascii="NorthCarolinaRegular" w:hAnsi="NorthCarolinaRegular" w:cs="NorthCarolina"/>
        <w:spacing w:val="-1"/>
        <w:sz w:val="16"/>
        <w:szCs w:val="16"/>
      </w:rPr>
      <w:t>| 919</w:t>
    </w:r>
    <w:r w:rsidR="00C57E55">
      <w:rPr>
        <w:rFonts w:ascii="NorthCarolinaRegular" w:hAnsi="NorthCarolinaRegular" w:cs="NorthCarolina"/>
        <w:spacing w:val="-1"/>
        <w:sz w:val="16"/>
        <w:szCs w:val="16"/>
      </w:rPr>
      <w:t>-</w:t>
    </w:r>
    <w:r>
      <w:rPr>
        <w:rFonts w:ascii="NorthCarolinaRegular" w:hAnsi="NorthCarolinaRegular" w:cs="NorthCarolina"/>
        <w:spacing w:val="-1"/>
        <w:sz w:val="16"/>
        <w:szCs w:val="16"/>
      </w:rPr>
      <w:t>733-2913</w:t>
    </w:r>
    <w:r w:rsidR="00BB1D96" w:rsidRPr="00722621">
      <w:rPr>
        <w:rFonts w:ascii="NorthCarolinaRegular" w:hAnsi="NorthCarolinaRegular" w:cs="NorthCarolina"/>
        <w:spacing w:val="-1"/>
        <w:sz w:val="16"/>
        <w:szCs w:val="16"/>
      </w:rPr>
      <w:t xml:space="preserve">   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9AE" w:rsidRDefault="008849AE" w:rsidP="00BF3CD1">
      <w:r>
        <w:separator/>
      </w:r>
    </w:p>
  </w:footnote>
  <w:footnote w:type="continuationSeparator" w:id="0">
    <w:p w:rsidR="008849AE" w:rsidRDefault="008849AE" w:rsidP="00BF3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CD1" w:rsidRDefault="0044177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769490" o:spid="_x0000_s2053" type="#_x0000_t75" style="position:absolute;margin-left:0;margin-top:0;width:612pt;height:11in;z-index:-251657216;mso-position-horizontal:center;mso-position-horizontal-relative:margin;mso-position-vertical:center;mso-position-vertical-relative:margin" o:allowincell="f">
          <v:imagedata r:id="rId1" o:title="general letter ar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CD1" w:rsidRDefault="0044177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769491" o:spid="_x0000_s2054" type="#_x0000_t75" style="position:absolute;margin-left:-45.75pt;margin-top:-51.2pt;width:612pt;height:11in;z-index:-251656192;mso-position-horizontal-relative:margin;mso-position-vertical-relative:margin" o:allowincell="f">
          <v:imagedata r:id="rId1" o:title="general letter ar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CD1" w:rsidRDefault="0044177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769489" o:spid="_x0000_s2052" type="#_x0000_t75" style="position:absolute;margin-left:0;margin-top:0;width:612pt;height:11in;z-index:-251658240;mso-position-horizontal:center;mso-position-horizontal-relative:margin;mso-position-vertical:center;mso-position-vertical-relative:margin" o:allowincell="f">
          <v:imagedata r:id="rId1" o:title="general letter ar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26610"/>
    <w:multiLevelType w:val="hybridMultilevel"/>
    <w:tmpl w:val="6658B1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CD1"/>
    <w:rsid w:val="00023533"/>
    <w:rsid w:val="00133313"/>
    <w:rsid w:val="002F42A9"/>
    <w:rsid w:val="0044177E"/>
    <w:rsid w:val="00532127"/>
    <w:rsid w:val="005A6DB9"/>
    <w:rsid w:val="00690F22"/>
    <w:rsid w:val="008849AE"/>
    <w:rsid w:val="008C2A0F"/>
    <w:rsid w:val="009A2334"/>
    <w:rsid w:val="00BB1D96"/>
    <w:rsid w:val="00BC043E"/>
    <w:rsid w:val="00BF3CD1"/>
    <w:rsid w:val="00C57E55"/>
    <w:rsid w:val="00C74AE0"/>
    <w:rsid w:val="00C93021"/>
    <w:rsid w:val="00D31EED"/>
    <w:rsid w:val="00DE3ED3"/>
    <w:rsid w:val="00E42544"/>
    <w:rsid w:val="00E9099C"/>
    <w:rsid w:val="00F7759C"/>
    <w:rsid w:val="00F80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F933C44B-9992-42F7-B68F-3D07AE6A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C2A0F"/>
    <w:pPr>
      <w:spacing w:after="0" w:line="240" w:lineRule="auto"/>
    </w:pPr>
    <w:rPr>
      <w:rFonts w:ascii="Helvetica" w:eastAsia="Times New Roman" w:hAnsi="Helvetic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CD1"/>
    <w:pPr>
      <w:tabs>
        <w:tab w:val="center" w:pos="4680"/>
        <w:tab w:val="right" w:pos="9360"/>
      </w:tabs>
    </w:pPr>
  </w:style>
  <w:style w:type="character" w:customStyle="1" w:styleId="HeaderChar">
    <w:name w:val="Header Char"/>
    <w:basedOn w:val="DefaultParagraphFont"/>
    <w:link w:val="Header"/>
    <w:uiPriority w:val="99"/>
    <w:rsid w:val="00BF3CD1"/>
  </w:style>
  <w:style w:type="paragraph" w:styleId="Footer">
    <w:name w:val="footer"/>
    <w:basedOn w:val="Normal"/>
    <w:link w:val="FooterChar"/>
    <w:uiPriority w:val="99"/>
    <w:unhideWhenUsed/>
    <w:rsid w:val="00BF3CD1"/>
    <w:pPr>
      <w:tabs>
        <w:tab w:val="center" w:pos="4680"/>
        <w:tab w:val="right" w:pos="9360"/>
      </w:tabs>
    </w:pPr>
  </w:style>
  <w:style w:type="character" w:customStyle="1" w:styleId="FooterChar">
    <w:name w:val="Footer Char"/>
    <w:basedOn w:val="DefaultParagraphFont"/>
    <w:link w:val="Footer"/>
    <w:uiPriority w:val="99"/>
    <w:rsid w:val="00BF3CD1"/>
  </w:style>
  <w:style w:type="paragraph" w:customStyle="1" w:styleId="BasicParagraph">
    <w:name w:val="[Basic Paragraph]"/>
    <w:basedOn w:val="Normal"/>
    <w:uiPriority w:val="99"/>
    <w:rsid w:val="00BB1D96"/>
    <w:pPr>
      <w:autoSpaceDE w:val="0"/>
      <w:autoSpaceDN w:val="0"/>
      <w:adjustRightInd w:val="0"/>
      <w:spacing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rsid w:val="008C2A0F"/>
    <w:pPr>
      <w:spacing w:after="160" w:line="259" w:lineRule="auto"/>
      <w:ind w:left="720"/>
      <w:contextualSpacing/>
    </w:pPr>
    <w:rPr>
      <w:rFonts w:ascii="Calibri" w:eastAsia="Calibri" w:hAnsi="Calibri"/>
      <w:szCs w:val="22"/>
    </w:rPr>
  </w:style>
  <w:style w:type="paragraph" w:styleId="NoSpacing">
    <w:name w:val="No Spacing"/>
    <w:uiPriority w:val="1"/>
    <w:qFormat/>
    <w:rsid w:val="008C2A0F"/>
    <w:pPr>
      <w:spacing w:after="0" w:line="240" w:lineRule="auto"/>
    </w:pPr>
    <w:rPr>
      <w:rFonts w:ascii="Calibri" w:eastAsia="Calibri" w:hAnsi="Calibri" w:cs="Times New Roman"/>
    </w:rPr>
  </w:style>
  <w:style w:type="table" w:styleId="TableGrid">
    <w:name w:val="Table Grid"/>
    <w:basedOn w:val="TableNormal"/>
    <w:uiPriority w:val="39"/>
    <w:rsid w:val="002F4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425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2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schelp@doa.nc.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Jayce</dc:creator>
  <cp:keywords/>
  <dc:description/>
  <cp:lastModifiedBy>Houston, Erica</cp:lastModifiedBy>
  <cp:revision>4</cp:revision>
  <dcterms:created xsi:type="dcterms:W3CDTF">2017-10-13T17:58:00Z</dcterms:created>
  <dcterms:modified xsi:type="dcterms:W3CDTF">2017-10-13T18:15:00Z</dcterms:modified>
</cp:coreProperties>
</file>